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C30AAF" w14:textId="77777777" w:rsidR="002A4233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E74EE65" w14:textId="77777777" w:rsidR="002A4233" w:rsidRDefault="002A423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73D4D47E" w14:textId="0B7DA6CE" w:rsidR="002A4233" w:rsidRPr="009F6640" w:rsidRDefault="002A423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2026-UVgO-004: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8BAB499" w:rsidR="009F6640" w:rsidRPr="00E75FB9" w:rsidRDefault="002A4233" w:rsidP="002A4233">
            <w:pPr>
              <w:spacing w:line="276" w:lineRule="auto"/>
              <w:ind w:left="-799" w:firstLine="0"/>
              <w:jc w:val="left"/>
            </w:pPr>
            <w:r>
              <w:t>2026- 20</w:t>
            </w:r>
            <w:bookmarkStart w:id="0" w:name="_GoBack"/>
            <w:bookmarkEnd w:id="0"/>
            <w:r>
              <w:t>PV-Anlagen-Planungsleistung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A4233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B33E0-5C82-4E71-938E-54AA429AE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Lippertz Marion</cp:lastModifiedBy>
  <cp:revision>7</cp:revision>
  <dcterms:created xsi:type="dcterms:W3CDTF">2023-11-14T15:41:00Z</dcterms:created>
  <dcterms:modified xsi:type="dcterms:W3CDTF">2026-06-11T06:16:00Z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